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pPr>
      <w:r>
        <w:rPr>
          <w:u w:val="none"/>
        </w:rPr>
        <w:t>Boletín INCIHUSA Febrero 2020</w:t>
      </w:r>
    </w:p>
    <w:p>
      <w:pPr>
        <w:bidi w:val="0"/>
        <w:jc w:val="center"/>
      </w:pPr>
    </w:p>
    <w:p>
      <w:pPr>
        <w:spacing w:before="0" w:after="0"/>
        <w:rPr>
          <w:rStyle w:val="10"/>
          <w:rFonts w:hint="default" w:ascii="Verdana" w:hAnsi="Verdana"/>
          <w:b/>
          <w:sz w:val="24"/>
          <w:szCs w:val="24"/>
          <w:lang w:val="es-AR"/>
        </w:rPr>
      </w:pPr>
      <w:r>
        <w:rPr>
          <w:rStyle w:val="10"/>
          <w:rFonts w:hint="default" w:ascii="Verdana" w:hAnsi="Verdana"/>
          <w:b/>
          <w:sz w:val="24"/>
          <w:szCs w:val="24"/>
          <w:lang w:val="es-AR"/>
        </w:rPr>
        <w:t>ASUNTOS INSTITUCIONALES</w:t>
      </w:r>
    </w:p>
    <w:p>
      <w:pPr>
        <w:spacing w:before="0" w:after="0"/>
        <w:rPr>
          <w:rStyle w:val="10"/>
          <w:rFonts w:hint="default" w:ascii="Verdana" w:hAnsi="Verdana"/>
          <w:b/>
          <w:sz w:val="24"/>
          <w:szCs w:val="24"/>
          <w:lang w:val="es-AR"/>
        </w:rPr>
      </w:pPr>
    </w:p>
    <w:p>
      <w:pPr>
        <w:spacing w:before="0" w:after="0"/>
        <w:rPr>
          <w:rStyle w:val="10"/>
          <w:rFonts w:ascii="Verdana" w:hAnsi="Verdana"/>
          <w:b/>
          <w:sz w:val="24"/>
          <w:szCs w:val="24"/>
        </w:rPr>
      </w:pPr>
      <w:r>
        <w:rPr>
          <w:rStyle w:val="10"/>
          <w:rFonts w:ascii="Verdana" w:hAnsi="Verdana"/>
          <w:b/>
          <w:sz w:val="24"/>
          <w:szCs w:val="24"/>
        </w:rPr>
        <w:t>Brindis fin de año INCIHUSA</w:t>
      </w:r>
    </w:p>
    <w:p>
      <w:pPr>
        <w:spacing w:before="0" w:after="0"/>
      </w:pPr>
    </w:p>
    <w:p>
      <w:pPr>
        <w:spacing w:before="0" w:after="0"/>
      </w:pPr>
      <w:r>
        <w:t xml:space="preserve">El día viernes 13 de diciembre de 2019, se llevó a cabo el tradicional brindis de fin de año. Previamente se realizó un reconocimiento a los colegas jubilados del Instituto. Asimismo, los equipos del INCIHUSA Digital y del Comité de Divulgación Científica presentaron los resultados del trabajo realizado durante el año 2019. </w:t>
      </w:r>
    </w:p>
    <w:p>
      <w:pPr>
        <w:spacing w:before="0" w:after="0"/>
        <w:rPr>
          <w:rFonts w:ascii="Verdana" w:hAnsi="Verdana"/>
          <w:b/>
          <w:bCs/>
          <w:color w:val="000000"/>
          <w:sz w:val="20"/>
          <w:szCs w:val="20"/>
          <w:highlight w:val="white"/>
        </w:rPr>
      </w:pPr>
    </w:p>
    <w:p>
      <w:pPr>
        <w:spacing w:before="0" w:after="0"/>
        <w:rPr>
          <w:rStyle w:val="10"/>
          <w:rFonts w:ascii="Verdana" w:hAnsi="Verdana"/>
          <w:b/>
          <w:sz w:val="24"/>
          <w:szCs w:val="24"/>
        </w:rPr>
      </w:pPr>
      <w:r>
        <w:rPr>
          <w:rStyle w:val="10"/>
          <w:rFonts w:ascii="Verdana" w:hAnsi="Verdana"/>
          <w:b/>
          <w:sz w:val="24"/>
          <w:szCs w:val="24"/>
        </w:rPr>
        <w:t>Resultados Convocatoria Becas CONICET 2019</w:t>
      </w:r>
    </w:p>
    <w:p>
      <w:pPr>
        <w:spacing w:before="0" w:after="0"/>
        <w:rPr>
          <w:rFonts w:ascii="Verdana" w:hAnsi="Verdana"/>
          <w:b/>
          <w:bCs/>
          <w:color w:val="000000"/>
          <w:sz w:val="20"/>
          <w:szCs w:val="20"/>
          <w:highlight w:val="white"/>
        </w:rPr>
      </w:pPr>
    </w:p>
    <w:p>
      <w:pPr>
        <w:spacing w:before="0" w:after="0"/>
      </w:pPr>
      <w:r>
        <w:t xml:space="preserve">El Directorio del CONICET, en su reunión de los días 16, 17 y 18 de diciembre de 2019, resolvió otorgar 1.716 Becas Internas Doctorales, 283 de Finalización de Doctorado y 1.181 Postdoctorales de la Convocatoria 2019. </w:t>
      </w:r>
    </w:p>
    <w:p>
      <w:pPr>
        <w:spacing w:before="0" w:after="0"/>
      </w:pPr>
      <w:r>
        <w:t xml:space="preserve">Como resultado de la convocatoria INCIHUSA ingresarán 3 Becas Internas Doctorales, 1 Beca Interna de Finalización de Doctorado y 4 Becas Postdoctorales. </w:t>
      </w:r>
    </w:p>
    <w:p>
      <w:pPr>
        <w:spacing w:before="0" w:after="0"/>
      </w:pPr>
    </w:p>
    <w:p>
      <w:pPr>
        <w:spacing w:before="0" w:after="0"/>
        <w:rPr>
          <w:rStyle w:val="10"/>
          <w:rFonts w:ascii="Verdana" w:hAnsi="Verdana"/>
          <w:b/>
          <w:sz w:val="24"/>
          <w:szCs w:val="24"/>
        </w:rPr>
      </w:pPr>
      <w:r>
        <w:rPr>
          <w:rStyle w:val="10"/>
          <w:rFonts w:ascii="Verdana" w:hAnsi="Verdana"/>
          <w:b/>
          <w:sz w:val="24"/>
          <w:szCs w:val="24"/>
        </w:rPr>
        <w:t>Elecciones Consejo Directivo INCIHUSA</w:t>
      </w:r>
    </w:p>
    <w:p>
      <w:pPr>
        <w:spacing w:before="0" w:after="0"/>
      </w:pPr>
      <w:r>
        <w:t>En vista a cumplimentar las disposiciones del CONICET sobre la formación y renovación del Consejo Directivo del Instituto, se dispuso el llamado a elecciones para el  martes 3 de marzo del 2020. El proceso se llevará a cabo en la Sala del Consejo Directivo del INCIHUSA entre las 9:00 y 15:00 horas.</w:t>
      </w:r>
    </w:p>
    <w:p>
      <w:pPr>
        <w:spacing w:before="0" w:after="0"/>
      </w:pPr>
    </w:p>
    <w:p>
      <w:pPr>
        <w:spacing w:before="0" w:after="0"/>
        <w:rPr>
          <w:rStyle w:val="10"/>
          <w:rFonts w:ascii="Verdana" w:hAnsi="Verdana"/>
          <w:b/>
          <w:sz w:val="24"/>
          <w:szCs w:val="24"/>
        </w:rPr>
      </w:pPr>
      <w:r>
        <w:rPr>
          <w:rStyle w:val="10"/>
          <w:rFonts w:ascii="Verdana" w:hAnsi="Verdana"/>
          <w:b/>
          <w:sz w:val="24"/>
          <w:szCs w:val="24"/>
        </w:rPr>
        <w:t>Prácticas Profesionales INCIHUSA</w:t>
      </w:r>
    </w:p>
    <w:p>
      <w:pPr>
        <w:spacing w:before="0" w:after="0"/>
      </w:pPr>
    </w:p>
    <w:p>
      <w:pPr>
        <w:spacing w:before="0" w:after="0"/>
      </w:pPr>
      <w:r>
        <w:t xml:space="preserve">El INCIHUSA recibirá a la Dra. Mahayana Cristina Godoy, quien realizará una práctica profesional a cargo del Dr. Luis Paris durante el primer semestre del año 2020. La Dra. Godoy realizó su doctorado en la Universidad Federal de Campinas y actualmente es Profesora del Centro de Ciencias Humanas y Letras de la Universidad Federal de Río Grande, Brasil. </w:t>
      </w:r>
    </w:p>
    <w:p>
      <w:pPr>
        <w:spacing w:before="0" w:after="0"/>
      </w:pPr>
    </w:p>
    <w:p>
      <w:pPr>
        <w:spacing w:before="0" w:after="0"/>
      </w:pPr>
    </w:p>
    <w:p>
      <w:pPr>
        <w:spacing w:before="0" w:after="0"/>
      </w:pPr>
      <w:r>
        <w:rPr>
          <w:rStyle w:val="10"/>
          <w:rFonts w:ascii="Verdana" w:hAnsi="Verdana"/>
          <w:b/>
          <w:sz w:val="24"/>
          <w:szCs w:val="24"/>
        </w:rPr>
        <w:t>INCIHUSA DIGITAL – Balance Año 2019</w:t>
      </w:r>
    </w:p>
    <w:p>
      <w:pPr>
        <w:spacing w:line="360" w:lineRule="auto"/>
        <w:jc w:val="both"/>
        <w:rPr>
          <w:rFonts w:ascii="Calibri" w:hAnsi="Calibri" w:eastAsia="MingLiU-ExtB" w:cs="Times New Roman"/>
          <w:color w:val="000000" w:themeColor="text1"/>
          <w:sz w:val="22"/>
          <w:szCs w:val="22"/>
          <w:lang w:val="es-AR"/>
          <w14:textFill>
            <w14:solidFill>
              <w14:schemeClr w14:val="tx1"/>
            </w14:solidFill>
          </w14:textFill>
        </w:rPr>
      </w:pPr>
    </w:p>
    <w:p>
      <w:pPr>
        <w:spacing w:line="360" w:lineRule="auto"/>
        <w:jc w:val="both"/>
        <w:rPr>
          <w:rFonts w:ascii="Calibri" w:hAnsi="Calibri"/>
          <w:sz w:val="22"/>
          <w:szCs w:val="22"/>
        </w:rPr>
      </w:pPr>
      <w:r>
        <w:rPr>
          <w:rFonts w:ascii="Calibri" w:hAnsi="Calibri" w:eastAsia="MingLiU-ExtB" w:cs="Times New Roman"/>
          <w:color w:val="000000" w:themeColor="text1"/>
          <w:sz w:val="22"/>
          <w:szCs w:val="22"/>
          <w:lang w:val="es-ES"/>
          <w14:textFill>
            <w14:solidFill>
              <w14:schemeClr w14:val="tx1"/>
            </w14:solidFill>
          </w14:textFill>
        </w:rPr>
        <w:t>INCIHUSA Digital es un repositorio académico destinado a almacenar, preservar, difundir y permitir el libre acceso de datos primarios y producción científica</w:t>
      </w:r>
      <w:r>
        <w:rPr>
          <w:rFonts w:ascii="Calibri" w:hAnsi="Calibri" w:eastAsia="MingLiU-ExtB" w:cs="Times New Roman"/>
          <w:color w:val="000000" w:themeColor="text1"/>
          <w:sz w:val="22"/>
          <w:szCs w:val="22"/>
          <w:lang w:val="es-AR"/>
          <w14:textFill>
            <w14:solidFill>
              <w14:schemeClr w14:val="tx1"/>
            </w14:solidFill>
          </w14:textFill>
        </w:rPr>
        <w:t xml:space="preserve"> </w:t>
      </w:r>
      <w:r>
        <w:rPr>
          <w:rFonts w:ascii="Calibri" w:hAnsi="Calibri" w:eastAsia="MingLiU-ExtB" w:cs="Times New Roman"/>
          <w:color w:val="000000" w:themeColor="text1"/>
          <w:sz w:val="22"/>
          <w:szCs w:val="22"/>
          <w:lang w:val="es-ES"/>
          <w14:textFill>
            <w14:solidFill>
              <w14:schemeClr w14:val="tx1"/>
            </w14:solidFill>
          </w14:textFill>
        </w:rPr>
        <w:t xml:space="preserve">de los investigadores del Instituto, que estén financiados </w:t>
      </w:r>
      <w:r>
        <w:rPr>
          <w:rFonts w:ascii="Calibri" w:hAnsi="Calibri" w:eastAsia="MingLiU-ExtB" w:cs="Times New Roman"/>
          <w:color w:val="000000" w:themeColor="text1"/>
          <w:sz w:val="22"/>
          <w:szCs w:val="22"/>
          <w:lang w:val="es-AR"/>
          <w14:textFill>
            <w14:solidFill>
              <w14:schemeClr w14:val="tx1"/>
            </w14:solidFill>
          </w14:textFill>
        </w:rPr>
        <w:t>con fondos públicos y</w:t>
      </w:r>
      <w:r>
        <w:rPr>
          <w:rFonts w:ascii="Calibri" w:hAnsi="Calibri" w:eastAsia="MingLiU-ExtB" w:cs="Times New Roman"/>
          <w:color w:val="000000" w:themeColor="text1"/>
          <w:sz w:val="22"/>
          <w:szCs w:val="22"/>
          <w:lang w:val="es-ES"/>
          <w14:textFill>
            <w14:solidFill>
              <w14:schemeClr w14:val="tx1"/>
            </w14:solidFill>
          </w14:textFill>
        </w:rPr>
        <w:t xml:space="preserve"> que no se encuentren publicados publicados en el Repositorio CONICET Digital. </w:t>
      </w:r>
    </w:p>
    <w:p>
      <w:pPr>
        <w:spacing w:line="360" w:lineRule="auto"/>
        <w:jc w:val="both"/>
        <w:rPr>
          <w:rFonts w:ascii="Calibri" w:hAnsi="Calibri"/>
          <w:sz w:val="22"/>
          <w:szCs w:val="22"/>
        </w:rPr>
      </w:pPr>
      <w:r>
        <w:rPr>
          <w:rFonts w:ascii="Calibri" w:hAnsi="Calibri" w:eastAsia="MingLiU-ExtB" w:cs="Times New Roman"/>
          <w:color w:val="000000" w:themeColor="text1"/>
          <w:sz w:val="22"/>
          <w:szCs w:val="22"/>
          <w:lang w:val="es-ES"/>
          <w14:textFill>
            <w14:solidFill>
              <w14:schemeClr w14:val="tx1"/>
            </w14:solidFill>
          </w14:textFill>
        </w:rPr>
        <w:t>El Equipo de Trabajo está conformado por el siguiente grupo de Profesionales: Cecilia Caminos, Ricardo Cohn, Oriana Pelagatti, Marcela Pérez, Marta Pierre y Gonzalo Villegas, quienes han sido formados para llevar adelante estas tareas y continúan capacitándose de manera constante para un mejor desarrollo de sus funciones.</w:t>
      </w:r>
    </w:p>
    <w:p>
      <w:pPr>
        <w:spacing w:line="360" w:lineRule="auto"/>
        <w:jc w:val="both"/>
        <w:rPr>
          <w:rFonts w:hint="default" w:ascii="Calibri" w:hAnsi="Calibri"/>
          <w:sz w:val="22"/>
          <w:szCs w:val="22"/>
          <w:lang w:val="es-AR"/>
        </w:rPr>
      </w:pPr>
      <w:r>
        <w:rPr>
          <w:rFonts w:ascii="Calibri" w:hAnsi="Calibri" w:eastAsia="MingLiU-ExtB" w:cs="Times New Roman"/>
          <w:color w:val="000000" w:themeColor="text1"/>
          <w:sz w:val="22"/>
          <w:szCs w:val="22"/>
          <w:lang w:val="es-ES"/>
          <w14:textFill>
            <w14:solidFill>
              <w14:schemeClr w14:val="tx1"/>
            </w14:solidFill>
          </w14:textFill>
        </w:rPr>
        <w:t>Durante el año 2019 se avanzó en el establecimiento de políticas en gestión de datos sobre depósitos de material, acceso abierto, digitalización, difusión y preservación de contenidos, para lo cual se contó con asesoramiento legal específico.</w:t>
      </w:r>
      <w:r>
        <w:rPr>
          <w:rFonts w:hint="default" w:ascii="Calibri" w:hAnsi="Calibri" w:eastAsia="MingLiU-ExtB" w:cs="Times New Roman"/>
          <w:color w:val="000000" w:themeColor="text1"/>
          <w:sz w:val="22"/>
          <w:szCs w:val="22"/>
          <w:lang w:val="es-AR"/>
          <w14:textFill>
            <w14:solidFill>
              <w14:schemeClr w14:val="tx1"/>
            </w14:solidFill>
          </w14:textFill>
        </w:rPr>
        <w:t xml:space="preserve"> (va imagen Gonzalo)</w:t>
      </w:r>
    </w:p>
    <w:p>
      <w:pPr>
        <w:spacing w:line="360" w:lineRule="auto"/>
        <w:jc w:val="both"/>
      </w:pPr>
      <w:r>
        <w:rPr>
          <w:rFonts w:ascii="Calibri" w:hAnsi="Calibri" w:eastAsia="MingLiU-ExtB" w:cs="Times New Roman"/>
          <w:color w:val="000000" w:themeColor="text1"/>
          <w:sz w:val="22"/>
          <w:szCs w:val="22"/>
          <w:lang w:val="es-ES"/>
          <w14:textFill>
            <w14:solidFill>
              <w14:schemeClr w14:val="tx1"/>
            </w14:solidFill>
          </w14:textFill>
        </w:rPr>
        <w:t xml:space="preserve">Se continuó con el análisis del Fondo de archivo bibliográfico </w:t>
      </w:r>
      <w:r>
        <w:rPr>
          <w:rFonts w:ascii="Calibri" w:hAnsi="Calibri" w:cs="Times New Roman"/>
          <w:sz w:val="22"/>
          <w:szCs w:val="22"/>
          <w:lang w:val="es-ES"/>
        </w:rPr>
        <w:t>Civit</w:t>
      </w:r>
      <w:r>
        <w:rPr>
          <w:rFonts w:ascii="Calibri" w:hAnsi="Calibri" w:cs="Times New Roman"/>
          <w:sz w:val="22"/>
          <w:szCs w:val="22"/>
          <w:lang w:val="es-AR"/>
        </w:rPr>
        <w:t>-</w:t>
      </w:r>
      <w:r>
        <w:rPr>
          <w:rFonts w:ascii="Calibri" w:hAnsi="Calibri" w:cs="Times New Roman"/>
          <w:sz w:val="22"/>
          <w:szCs w:val="22"/>
          <w:lang w:val="es-ES"/>
        </w:rPr>
        <w:t>Manchón</w:t>
      </w:r>
      <w:r>
        <w:rPr>
          <w:rFonts w:ascii="Calibri" w:hAnsi="Calibri" w:cs="Times New Roman"/>
          <w:sz w:val="22"/>
          <w:szCs w:val="22"/>
          <w:lang w:val="es-AR"/>
        </w:rPr>
        <w:t xml:space="preserve"> </w:t>
      </w:r>
      <w:r>
        <w:rPr>
          <w:rFonts w:ascii="Calibri" w:hAnsi="Calibri" w:cs="Times New Roman"/>
          <w:sz w:val="22"/>
          <w:szCs w:val="22"/>
          <w:lang w:val="es-ES"/>
        </w:rPr>
        <w:t xml:space="preserve">avanzando en la </w:t>
      </w:r>
      <w:r>
        <w:rPr>
          <w:rFonts w:ascii="Calibri" w:hAnsi="Calibri" w:cs="Times New Roman"/>
          <w:sz w:val="22"/>
          <w:szCs w:val="22"/>
          <w:lang w:val="es-AR"/>
        </w:rPr>
        <w:t>confecci</w:t>
      </w:r>
      <w:r>
        <w:rPr>
          <w:rFonts w:ascii="Calibri" w:hAnsi="Calibri" w:cs="Times New Roman"/>
          <w:sz w:val="22"/>
          <w:szCs w:val="22"/>
          <w:lang w:val="es-ES"/>
        </w:rPr>
        <w:t>ón</w:t>
      </w:r>
      <w:r>
        <w:rPr>
          <w:rFonts w:ascii="Calibri" w:hAnsi="Calibri" w:cs="Times New Roman"/>
          <w:sz w:val="22"/>
          <w:szCs w:val="22"/>
          <w:lang w:val="es-AR"/>
        </w:rPr>
        <w:t xml:space="preserve"> </w:t>
      </w:r>
      <w:r>
        <w:rPr>
          <w:rFonts w:ascii="Calibri" w:hAnsi="Calibri" w:cs="Times New Roman"/>
          <w:sz w:val="22"/>
          <w:szCs w:val="22"/>
          <w:lang w:val="es-ES"/>
        </w:rPr>
        <w:t>del</w:t>
      </w:r>
      <w:r>
        <w:rPr>
          <w:rFonts w:ascii="Calibri" w:hAnsi="Calibri" w:cs="Times New Roman"/>
          <w:sz w:val="22"/>
          <w:szCs w:val="22"/>
          <w:lang w:val="es-AR"/>
        </w:rPr>
        <w:t xml:space="preserve"> inventario</w:t>
      </w:r>
      <w:r>
        <w:rPr>
          <w:rFonts w:ascii="Calibri" w:hAnsi="Calibri" w:cs="Times New Roman"/>
          <w:sz w:val="22"/>
          <w:szCs w:val="22"/>
          <w:lang w:val="es-ES"/>
        </w:rPr>
        <w:t xml:space="preserve"> general. En las tareas de identificación, registro, descripción y análisis de la documentación recibida se contó con el asesoramiento de la Dra. Gladys Molina; la Mgtr. Ana Sedevich y la Dra. Patricia Barrios. El resultado de esta colaboración ha sido</w:t>
      </w:r>
      <w:r>
        <w:rPr>
          <w:rFonts w:cs="Times New Roman" w:asciiTheme="minorHAnsi" w:hAnsiTheme="minorHAnsi" w:eastAsiaTheme="minorEastAsia"/>
          <w:sz w:val="22"/>
          <w:szCs w:val="22"/>
          <w:lang w:val="es-ES" w:eastAsia="zh-CN" w:bidi="ar-SA"/>
        </w:rPr>
        <w:t xml:space="preserve"> incorporado a</w:t>
      </w:r>
      <w:r>
        <w:rPr>
          <w:rFonts w:ascii="Calibri" w:hAnsi="Calibri" w:cs="Times New Roman"/>
          <w:sz w:val="22"/>
          <w:szCs w:val="22"/>
          <w:lang w:val="es-ES"/>
        </w:rPr>
        <w:t xml:space="preserve">l Repositorio que podrá ser consultado en breve. </w:t>
      </w:r>
      <w:r>
        <w:rPr>
          <w:rFonts w:ascii="Calibri" w:hAnsi="Calibri" w:eastAsia="MingLiU-ExtB" w:cs="Times New Roman"/>
          <w:color w:val="000000" w:themeColor="text1"/>
          <w:sz w:val="22"/>
          <w:szCs w:val="22"/>
          <w:lang w:val="es-AR"/>
          <w14:textFill>
            <w14:solidFill>
              <w14:schemeClr w14:val="tx1"/>
            </w14:solidFill>
          </w14:textFill>
        </w:rPr>
        <w:t xml:space="preserve">El día 13 de diciembre de 2019 se presentó en sala Latinoamericana </w:t>
      </w:r>
      <w:r>
        <w:rPr>
          <w:rFonts w:ascii="Calibri" w:hAnsi="Calibri" w:eastAsia="MingLiU-ExtB" w:cs="Times New Roman"/>
          <w:color w:val="000000" w:themeColor="text1"/>
          <w:sz w:val="22"/>
          <w:szCs w:val="22"/>
          <w:lang w:val="es-ES"/>
          <w14:textFill>
            <w14:solidFill>
              <w14:schemeClr w14:val="tx1"/>
            </w14:solidFill>
          </w14:textFill>
        </w:rPr>
        <w:t xml:space="preserve">un micrositio con fotografías del proyecto “Atlas de la frontera oeste argentina”, que integran </w:t>
      </w:r>
      <w:r>
        <w:rPr>
          <w:rFonts w:ascii="Calibri" w:hAnsi="Calibri" w:eastAsia="MingLiU-ExtB" w:cs="Times New Roman"/>
          <w:color w:val="000000" w:themeColor="text1"/>
          <w:sz w:val="22"/>
          <w:szCs w:val="22"/>
          <w:lang w:val="es-AR"/>
          <w14:textFill>
            <w14:solidFill>
              <w14:schemeClr w14:val="tx1"/>
            </w14:solidFill>
          </w14:textFill>
        </w:rPr>
        <w:t>el INCIHUSA Digital</w:t>
      </w:r>
      <w:r>
        <w:rPr>
          <w:rFonts w:ascii="Calibri" w:hAnsi="Calibri" w:eastAsia="MingLiU-ExtB" w:cs="Times New Roman"/>
          <w:color w:val="000000" w:themeColor="text1"/>
          <w:sz w:val="22"/>
          <w:szCs w:val="22"/>
          <w:lang w:val="es-ES"/>
          <w14:textFill>
            <w14:solidFill>
              <w14:schemeClr w14:val="tx1"/>
            </w14:solidFill>
          </w14:textFill>
        </w:rPr>
        <w:t xml:space="preserve"> </w:t>
      </w:r>
      <w:bookmarkStart w:id="0" w:name="_GoBack1"/>
      <w:bookmarkEnd w:id="0"/>
      <w:r>
        <w:rPr>
          <w:rFonts w:ascii="Calibri" w:hAnsi="Calibri" w:eastAsia="MingLiU-ExtB" w:cs="Times New Roman"/>
          <w:color w:val="000000" w:themeColor="text1"/>
          <w:sz w:val="22"/>
          <w:szCs w:val="22"/>
          <w:lang w:val="es-ES"/>
          <w14:textFill>
            <w14:solidFill>
              <w14:schemeClr w14:val="tx1"/>
            </w14:solidFill>
          </w14:textFill>
        </w:rPr>
        <w:t xml:space="preserve">y que se puede visualizar en el siguiente enlace: </w:t>
      </w:r>
      <w:r>
        <w:fldChar w:fldCharType="begin"/>
      </w:r>
      <w:r>
        <w:instrText xml:space="preserve"> HYPERLINK "http://incihusa.mendoza-conicet.gob.ar/atlas/" \h </w:instrText>
      </w:r>
      <w:r>
        <w:fldChar w:fldCharType="separate"/>
      </w:r>
      <w:r>
        <w:rPr>
          <w:rStyle w:val="7"/>
          <w:rFonts w:ascii="Calibri" w:hAnsi="Calibri" w:eastAsia="SimSun" w:cs="Times New Roman"/>
          <w:i w:val="0"/>
          <w:caps w:val="0"/>
          <w:smallCaps w:val="0"/>
          <w:color w:val="005A95"/>
          <w:spacing w:val="0"/>
          <w:sz w:val="22"/>
          <w:szCs w:val="22"/>
          <w:highlight w:val="white"/>
          <w:u w:val="none"/>
        </w:rPr>
        <w:t>http://incihusa.mendoza-conicet.gob.ar/atlas/</w:t>
      </w:r>
      <w:r>
        <w:rPr>
          <w:rStyle w:val="7"/>
          <w:rFonts w:ascii="Calibri" w:hAnsi="Calibri" w:eastAsia="SimSun" w:cs="Times New Roman"/>
          <w:i w:val="0"/>
          <w:caps w:val="0"/>
          <w:smallCaps w:val="0"/>
          <w:color w:val="005A95"/>
          <w:spacing w:val="0"/>
          <w:sz w:val="22"/>
          <w:szCs w:val="22"/>
          <w:highlight w:val="white"/>
          <w:u w:val="none"/>
        </w:rPr>
        <w:fldChar w:fldCharType="end"/>
      </w:r>
      <w:r>
        <w:rPr>
          <w:rFonts w:ascii="Calibri" w:hAnsi="Calibri" w:eastAsia="SimSun" w:cs="Times New Roman"/>
          <w:i w:val="0"/>
          <w:caps w:val="0"/>
          <w:smallCaps w:val="0"/>
          <w:color w:val="auto"/>
          <w:spacing w:val="0"/>
          <w:sz w:val="22"/>
          <w:szCs w:val="22"/>
          <w:u w:val="none"/>
          <w:shd w:val="clear" w:fill="FFFFFF"/>
          <w:lang w:val="es-ES"/>
        </w:rPr>
        <w:t xml:space="preserve">. En ese mismo evento pudo escucharse la exposición de </w:t>
      </w:r>
      <w:r>
        <w:rPr>
          <w:rFonts w:ascii="Calibri" w:hAnsi="Calibri" w:eastAsia="MingLiU-ExtB" w:cs="Times New Roman"/>
          <w:color w:val="000000" w:themeColor="text1"/>
          <w:sz w:val="22"/>
          <w:szCs w:val="22"/>
          <w:lang w:val="es-ES"/>
          <w14:textFill>
            <w14:solidFill>
              <w14:schemeClr w14:val="tx1"/>
            </w14:solidFill>
          </w14:textFill>
        </w:rPr>
        <w:t xml:space="preserve">la Dra. </w:t>
      </w:r>
      <w:r>
        <w:rPr>
          <w:rFonts w:ascii="Calibri" w:hAnsi="Calibri" w:cs="Times New Roman"/>
          <w:sz w:val="22"/>
          <w:szCs w:val="22"/>
          <w:lang w:val="es-AR"/>
        </w:rPr>
        <w:t xml:space="preserve">Gladys Molina quien hizo referencia a la importante trayectoria de </w:t>
      </w:r>
      <w:r>
        <w:rPr>
          <w:rFonts w:ascii="Calibri" w:hAnsi="Calibri" w:cs="Times New Roman"/>
          <w:sz w:val="22"/>
          <w:szCs w:val="22"/>
          <w:lang w:val="es-ES"/>
        </w:rPr>
        <w:t>las Geógrafas María Estela Furlani de Civit y María Josefina Gutiérrez de Manchón, quienes dieron origen al Fondo mencionado cediendo gran parte del material ingresado a I</w:t>
      </w:r>
      <w:r>
        <w:rPr>
          <w:rFonts w:hint="default" w:ascii="Calibri" w:hAnsi="Calibri" w:cs="Times New Roman"/>
          <w:sz w:val="22"/>
          <w:szCs w:val="22"/>
          <w:lang w:val="es-AR"/>
        </w:rPr>
        <w:t xml:space="preserve">NCIHUSA </w:t>
      </w:r>
      <w:r>
        <w:rPr>
          <w:rFonts w:ascii="Calibri" w:hAnsi="Calibri" w:cs="Times New Roman"/>
          <w:sz w:val="22"/>
          <w:szCs w:val="22"/>
          <w:lang w:val="es-ES"/>
        </w:rPr>
        <w:t>Digital.</w:t>
      </w:r>
      <w:r>
        <w:rPr>
          <w:rFonts w:ascii="Calibri" w:hAnsi="Calibri" w:eastAsia="SimSun" w:cs="Times New Roman"/>
          <w:i w:val="0"/>
          <w:caps w:val="0"/>
          <w:smallCaps w:val="0"/>
          <w:color w:val="005A95"/>
          <w:spacing w:val="0"/>
          <w:sz w:val="22"/>
          <w:szCs w:val="22"/>
          <w:u w:val="none"/>
          <w:shd w:val="clear" w:fill="FFFFFF"/>
          <w:lang w:val="es-ES"/>
        </w:rPr>
        <w:t xml:space="preserve"> </w:t>
      </w:r>
    </w:p>
    <w:p>
      <w:pPr>
        <w:spacing w:line="360" w:lineRule="auto"/>
        <w:jc w:val="both"/>
        <w:rPr>
          <w:rFonts w:hint="default" w:ascii="Calibri" w:hAnsi="Calibri" w:eastAsia="MingLiU-ExtB" w:cs="Times New Roman"/>
          <w:color w:val="000000" w:themeColor="text1"/>
          <w:sz w:val="22"/>
          <w:szCs w:val="22"/>
          <w:lang w:val="es-AR"/>
          <w14:textFill>
            <w14:solidFill>
              <w14:schemeClr w14:val="tx1"/>
            </w14:solidFill>
          </w14:textFill>
        </w:rPr>
      </w:pPr>
      <w:r>
        <w:rPr>
          <w:rFonts w:ascii="Calibri" w:hAnsi="Calibri" w:eastAsia="MingLiU-ExtB" w:cs="Times New Roman"/>
          <w:color w:val="000000" w:themeColor="text1"/>
          <w:sz w:val="22"/>
          <w:szCs w:val="22"/>
          <w:lang w:val="es-ES"/>
          <w14:textFill>
            <w14:solidFill>
              <w14:schemeClr w14:val="tx1"/>
            </w14:solidFill>
          </w14:textFill>
        </w:rPr>
        <w:t xml:space="preserve">En el marco del proyecto institucional se realizaron distintos cursos y talleres de capacitación a cargo del Mgtr. Lucas Luchilo, especialista de Gestión en Ciencia y Tecnología; del Lic. Fernando Boro, experto en Digitalización y Preservación Documental, así como de la Mgtr. Norma Fenoglio y el Dr. Silvano Benito Moya, especialistas en Archivología. Al mismo tiempo, se participó en la organización del 1º Encuentro de Archivos y Centros de Documentación de Mendoza que tuvo lugar en el Archivo General de la Provincia. </w:t>
      </w:r>
      <w:r>
        <w:rPr>
          <w:rFonts w:hint="default" w:ascii="Calibri" w:hAnsi="Calibri" w:eastAsia="MingLiU-ExtB" w:cs="Times New Roman"/>
          <w:color w:val="000000" w:themeColor="text1"/>
          <w:sz w:val="22"/>
          <w:szCs w:val="22"/>
          <w:lang w:val="es-AR"/>
          <w14:textFill>
            <w14:solidFill>
              <w14:schemeClr w14:val="tx1"/>
            </w14:solidFill>
          </w14:textFill>
        </w:rPr>
        <w:t>(va imagen Gladys)</w:t>
      </w:r>
      <w:bookmarkStart w:id="1" w:name="_GoBack"/>
      <w:bookmarkEnd w:id="1"/>
    </w:p>
    <w:p>
      <w:pPr>
        <w:spacing w:line="360" w:lineRule="auto"/>
        <w:jc w:val="both"/>
        <w:rPr>
          <w:rFonts w:ascii="Calibri" w:hAnsi="Calibri" w:eastAsia="MingLiU-ExtB" w:cs="Times New Roman"/>
          <w:color w:val="000000" w:themeColor="text1"/>
          <w:sz w:val="22"/>
          <w:szCs w:val="22"/>
          <w:lang w:val="es-ES"/>
          <w14:textFill>
            <w14:solidFill>
              <w14:schemeClr w14:val="tx1"/>
            </w14:solidFill>
          </w14:textFill>
        </w:rPr>
      </w:pPr>
    </w:p>
    <w:p>
      <w:pPr>
        <w:spacing w:before="0" w:after="0"/>
        <w:rPr>
          <w:rStyle w:val="10"/>
          <w:rFonts w:ascii="Verdana" w:hAnsi="Verdana"/>
          <w:b/>
          <w:sz w:val="24"/>
          <w:szCs w:val="24"/>
        </w:rPr>
      </w:pPr>
      <w:r>
        <w:rPr>
          <w:rStyle w:val="10"/>
          <w:rFonts w:ascii="Verdana" w:hAnsi="Verdana"/>
          <w:b/>
          <w:sz w:val="24"/>
          <w:szCs w:val="24"/>
        </w:rPr>
        <w:t xml:space="preserve">Presentación de los resultados de la Multiplataforma de Divulgación Científica INCIHUSA  2019  </w:t>
      </w:r>
    </w:p>
    <w:p>
      <w:pPr>
        <w:spacing w:before="0" w:after="0"/>
        <w:rPr>
          <w:rStyle w:val="10"/>
          <w:rFonts w:ascii="Verdana" w:hAnsi="Verdana"/>
          <w:b/>
          <w:sz w:val="24"/>
          <w:szCs w:val="24"/>
        </w:rPr>
      </w:pPr>
    </w:p>
    <w:p>
      <w:r>
        <w:t>El día viernes 13 de diciembre se presentaron los resultados del trabajo realizado en el marco de la Multiplataforma de Divulgación Científica 2019, desarrollada por miembros del Comité de Divulgación del Instituto junto a otras iniciativas que se ejecutan desde su creación en 2015. El trabajo realizado en el curso del año académico 2019, contó con el aporte de 14 practicantes, profesionales jóvenes y estudiantes de la Universidad Nacional de Cuyo, la Universidad Maza y la Fundación Gutenberg. Se realizaron 7 videos, 5 podcast y varios artículos que se publicaron en los informes especiales de Unidiversidad (UNLP) que coordina el Comité de Divulgación. Se abrió un perfil en la red social Instagram (715 seguidores), que se sumó al existente en Twitter (609 seguidores), un canal en You Tube (64 suscriptores) y perfiles en las plataformas Ivoox y Soundcloud (16 seguidores). Los videos han alcanzado 1989 visualizaciones, y los podcast 285 reproducciones.</w:t>
      </w:r>
    </w:p>
    <w:p>
      <w:pPr>
        <w:spacing w:before="0" w:after="0" w:line="240" w:lineRule="auto"/>
      </w:pPr>
      <w:r>
        <w:t>Los canales donde están accesibles los productos de la Multiplataforma de Divulgación son:</w:t>
      </w:r>
    </w:p>
    <w:p>
      <w:pPr>
        <w:spacing w:before="0" w:after="0" w:line="240" w:lineRule="auto"/>
      </w:pPr>
      <w:r>
        <w:t>•</w:t>
      </w:r>
      <w:r>
        <w:tab/>
      </w:r>
      <w:r>
        <w:t xml:space="preserve">YouTube </w:t>
      </w:r>
    </w:p>
    <w:p>
      <w:pPr>
        <w:spacing w:before="0" w:after="0" w:line="240" w:lineRule="auto"/>
      </w:pPr>
      <w:r>
        <w:t>INCIHUSA - CCT CONICET Mendoza</w:t>
      </w:r>
    </w:p>
    <w:p>
      <w:pPr>
        <w:spacing w:before="0" w:after="0" w:line="240" w:lineRule="auto"/>
      </w:pPr>
      <w:r>
        <w:fldChar w:fldCharType="begin"/>
      </w:r>
      <w:r>
        <w:instrText xml:space="preserve"> HYPERLINK "https://www.youtube.com/channel/UCvRutIAa6OC1fnsIGSifMBQ" \h </w:instrText>
      </w:r>
      <w:r>
        <w:fldChar w:fldCharType="separate"/>
      </w:r>
      <w:r>
        <w:rPr>
          <w:rStyle w:val="7"/>
        </w:rPr>
        <w:t>https://www.youtube.com/channel/UCvRutIAa6OC1fnsIGSifMBQ</w:t>
      </w:r>
      <w:r>
        <w:rPr>
          <w:rStyle w:val="7"/>
        </w:rPr>
        <w:fldChar w:fldCharType="end"/>
      </w:r>
    </w:p>
    <w:p>
      <w:pPr>
        <w:pStyle w:val="11"/>
        <w:numPr>
          <w:ilvl w:val="0"/>
          <w:numId w:val="1"/>
        </w:numPr>
        <w:spacing w:before="0" w:after="0" w:line="240" w:lineRule="auto"/>
        <w:ind w:left="720" w:hanging="720"/>
        <w:contextualSpacing/>
        <w:rPr>
          <w:lang w:val="es-AR"/>
        </w:rPr>
      </w:pPr>
      <w:r>
        <w:rPr>
          <w:lang w:val="es-AR"/>
        </w:rPr>
        <w:t>Plataforma Soundcloud</w:t>
      </w:r>
    </w:p>
    <w:p>
      <w:pPr>
        <w:spacing w:before="0" w:after="0" w:line="240" w:lineRule="auto"/>
      </w:pPr>
      <w:r>
        <w:t>Divulgación INCIHUSA – CONICET</w:t>
      </w:r>
    </w:p>
    <w:p>
      <w:pPr>
        <w:spacing w:before="0" w:after="0" w:line="240" w:lineRule="auto"/>
      </w:pPr>
      <w:r>
        <w:fldChar w:fldCharType="begin"/>
      </w:r>
      <w:r>
        <w:instrText xml:space="preserve"> HYPERLINK "https://soundcloud.com/incihusa" \h </w:instrText>
      </w:r>
      <w:r>
        <w:fldChar w:fldCharType="separate"/>
      </w:r>
      <w:r>
        <w:rPr>
          <w:rStyle w:val="7"/>
        </w:rPr>
        <w:t>https://soundcloud.com/incihusa</w:t>
      </w:r>
      <w:r>
        <w:rPr>
          <w:rStyle w:val="7"/>
        </w:rPr>
        <w:fldChar w:fldCharType="end"/>
      </w:r>
    </w:p>
    <w:p>
      <w:pPr>
        <w:spacing w:before="0" w:after="0" w:line="240" w:lineRule="auto"/>
      </w:pPr>
      <w:r>
        <w:t>•</w:t>
      </w:r>
      <w:r>
        <w:tab/>
      </w:r>
      <w:r>
        <w:t xml:space="preserve">Ivoox Podcast </w:t>
      </w:r>
    </w:p>
    <w:p>
      <w:pPr>
        <w:spacing w:before="0" w:after="0" w:line="240" w:lineRule="auto"/>
      </w:pPr>
      <w:r>
        <w:t>INCIHUSA TE CUENTA</w:t>
      </w:r>
    </w:p>
    <w:p>
      <w:pPr>
        <w:spacing w:before="0" w:after="0" w:line="240" w:lineRule="auto"/>
      </w:pPr>
      <w:r>
        <w:t xml:space="preserve"> </w:t>
      </w:r>
      <w:r>
        <w:fldChar w:fldCharType="begin"/>
      </w:r>
      <w:r>
        <w:instrText xml:space="preserve"> HYPERLINK "https://ar.ivoox.com/es/37409405" \h </w:instrText>
      </w:r>
      <w:r>
        <w:fldChar w:fldCharType="separate"/>
      </w:r>
      <w:r>
        <w:rPr>
          <w:rStyle w:val="7"/>
        </w:rPr>
        <w:t>https://ar.ivoox.com/es/37409405</w:t>
      </w:r>
      <w:r>
        <w:rPr>
          <w:rStyle w:val="7"/>
        </w:rPr>
        <w:fldChar w:fldCharType="end"/>
      </w:r>
    </w:p>
    <w:p>
      <w:pPr>
        <w:spacing w:before="0" w:after="0" w:line="240" w:lineRule="auto"/>
      </w:pPr>
      <w:r>
        <w:t>•</w:t>
      </w:r>
      <w:r>
        <w:tab/>
      </w:r>
      <w:r>
        <w:t>Instagram</w:t>
      </w:r>
    </w:p>
    <w:p>
      <w:pPr>
        <w:spacing w:before="0" w:after="0" w:line="240" w:lineRule="auto"/>
      </w:pPr>
      <w:r>
        <w:t>@incihusa.conicet</w:t>
      </w:r>
    </w:p>
    <w:p>
      <w:pPr>
        <w:spacing w:before="0" w:after="0" w:line="240" w:lineRule="auto"/>
      </w:pPr>
      <w:r>
        <w:t xml:space="preserve"> </w:t>
      </w:r>
      <w:r>
        <w:fldChar w:fldCharType="begin"/>
      </w:r>
      <w:r>
        <w:instrText xml:space="preserve"> HYPERLINK "https://www.instagram.com/incihusa.conicet/" \h </w:instrText>
      </w:r>
      <w:r>
        <w:fldChar w:fldCharType="separate"/>
      </w:r>
      <w:r>
        <w:rPr>
          <w:rStyle w:val="7"/>
        </w:rPr>
        <w:t>https://www.instagram.com/incihusa.conicet/</w:t>
      </w:r>
      <w:r>
        <w:rPr>
          <w:rStyle w:val="7"/>
        </w:rPr>
        <w:fldChar w:fldCharType="end"/>
      </w:r>
    </w:p>
    <w:p>
      <w:pPr>
        <w:spacing w:before="0" w:after="0" w:line="240" w:lineRule="auto"/>
      </w:pPr>
      <w:r>
        <w:t>•</w:t>
      </w:r>
      <w:r>
        <w:tab/>
      </w:r>
      <w:r>
        <w:t xml:space="preserve">Twitter </w:t>
      </w:r>
    </w:p>
    <w:p>
      <w:pPr>
        <w:spacing w:before="0" w:after="0" w:line="240" w:lineRule="auto"/>
      </w:pPr>
      <w:r>
        <w:t>@incihusa</w:t>
      </w:r>
    </w:p>
    <w:p>
      <w:pPr>
        <w:spacing w:before="0" w:after="0" w:line="240" w:lineRule="auto"/>
      </w:pPr>
      <w:r>
        <w:t xml:space="preserve"> </w:t>
      </w:r>
      <w:r>
        <w:fldChar w:fldCharType="begin"/>
      </w:r>
      <w:r>
        <w:instrText xml:space="preserve"> HYPERLINK "https://twitter.com/incihusa" \h </w:instrText>
      </w:r>
      <w:r>
        <w:fldChar w:fldCharType="separate"/>
      </w:r>
      <w:r>
        <w:rPr>
          <w:rStyle w:val="7"/>
        </w:rPr>
        <w:t>https://twitter.com/incihusa</w:t>
      </w:r>
      <w:r>
        <w:rPr>
          <w:rStyle w:val="7"/>
        </w:rPr>
        <w:fldChar w:fldCharType="end"/>
      </w:r>
    </w:p>
    <w:p>
      <w:pPr>
        <w:spacing w:before="0" w:after="0" w:line="240" w:lineRule="auto"/>
      </w:pPr>
    </w:p>
    <w:p/>
    <w:p>
      <w:pPr>
        <w:rPr>
          <w:rFonts w:hint="default"/>
          <w:lang w:val="es-AR"/>
        </w:rPr>
      </w:pPr>
      <w:r>
        <w:rPr>
          <w:rFonts w:hint="default"/>
          <w:lang w:val="es-AR"/>
        </w:rPr>
        <w:t>(aca va imagen de presentacion incihusa)</w:t>
      </w:r>
    </w:p>
    <w:p/>
    <w:p>
      <w:pPr>
        <w:rPr>
          <w:b/>
        </w:rPr>
      </w:pPr>
    </w:p>
    <w:p>
      <w:pPr>
        <w:rPr>
          <w:b/>
        </w:rPr>
      </w:pPr>
      <w:r>
        <w:rPr>
          <w:b/>
        </w:rPr>
        <w:t>Café Científico Mendoza 2020</w:t>
      </w:r>
    </w:p>
    <w:p>
      <w:pPr>
        <w:rPr>
          <w:rFonts w:hint="default"/>
          <w:lang w:val="es-AR"/>
        </w:rPr>
      </w:pPr>
      <w:r>
        <w:t>En la primera edición 2020 del Café Científico Mendoza se presentará la Dra. Marisa Muñoz, quien disertará sobre las ideas acerca del Amor, en perspectiva filosófica. La participación ha sido coordinada por el Comité de Divulgación del Instituto, que en 2019 ya coordinó con los organizadores del Café la participación del Dr Ángel Tabullo. La fecha de presentación se podrá conocer en los próximos días en las redes sociales de la organización en Instagram @cafecientificomendoza. El café se realiza en el bar El Juglar @juglarculturabar en Ciudad de Mendoza.</w:t>
      </w:r>
      <w:r>
        <w:rPr>
          <w:rFonts w:hint="default"/>
          <w:lang w:val="es-AR"/>
        </w:rPr>
        <w:t xml:space="preserve"> (va imagen de cafe cientifico, elegi la que mas te guste)</w:t>
      </w:r>
    </w:p>
    <w:p>
      <w:pPr>
        <w:rPr>
          <w:b/>
        </w:rPr>
      </w:pPr>
    </w:p>
    <w:p>
      <w:pPr>
        <w:rPr>
          <w:b/>
          <w:bCs/>
        </w:rPr>
      </w:pPr>
    </w:p>
    <w:p>
      <w:pPr>
        <w:rPr>
          <w:b/>
          <w:bCs/>
        </w:rPr>
      </w:pPr>
      <w:r>
        <w:rPr>
          <w:b/>
          <w:bCs/>
        </w:rPr>
        <w:t xml:space="preserve">Proyecto Fotográfico El arte de hacer ciencia </w:t>
      </w:r>
    </w:p>
    <w:p>
      <w:pPr>
        <w:rPr>
          <w:rFonts w:hint="default"/>
          <w:lang w:val="es-AR"/>
        </w:rPr>
      </w:pPr>
      <w:r>
        <w:t>El trabajo científico y sus protagonistas son en general poco conocidos por el gran público, el objetivo de este proyecto fotográfico desarrollado por el Dr. Gabriel Morales y Dr. Juan Manuel Monteoliva, investigadores del CCT CONICET Mendoza, es documentar y proponer una mirada estética del quehacer científico y de sus protagonistas, con sus lenguajes, dispositivos y materiales. Los primeros trabajos de esta iniciativa se pueden ver en la red social Instagram en @retratosdeciencia.</w:t>
      </w:r>
      <w:r>
        <w:rPr>
          <w:rFonts w:hint="default"/>
          <w:lang w:val="es-AR"/>
        </w:rPr>
        <w:t xml:space="preserve"> (va imagen maquina fotográfica)</w:t>
      </w:r>
    </w:p>
    <w:p/>
    <w:p>
      <w:pPr>
        <w:spacing w:line="360" w:lineRule="auto"/>
        <w:jc w:val="both"/>
        <w:rPr>
          <w:rFonts w:ascii="Calibri" w:hAnsi="Calibri" w:eastAsia="MingLiU-ExtB" w:cs="Times New Roman"/>
          <w:color w:val="000000" w:themeColor="text1"/>
          <w:sz w:val="22"/>
          <w:szCs w:val="22"/>
          <w:lang w:val="es-ES"/>
          <w14:textFill>
            <w14:solidFill>
              <w14:schemeClr w14:val="tx1"/>
            </w14:solidFill>
          </w14:textFill>
        </w:rPr>
      </w:pPr>
    </w:p>
    <w:p>
      <w:pPr>
        <w:bidi w:val="0"/>
        <w:jc w:val="both"/>
        <w:rPr>
          <w:b/>
          <w:bCs/>
        </w:rPr>
      </w:pPr>
    </w:p>
    <w:p>
      <w:pPr>
        <w:bidi w:val="0"/>
        <w:jc w:val="both"/>
        <w:rPr>
          <w:b/>
          <w:bCs/>
        </w:rPr>
      </w:pPr>
      <w:r>
        <w:rPr>
          <w:b/>
          <w:bCs/>
        </w:rPr>
        <w:t xml:space="preserve">CONICET </w:t>
      </w:r>
    </w:p>
    <w:p>
      <w:pPr>
        <w:bidi w:val="0"/>
        <w:jc w:val="both"/>
      </w:pPr>
    </w:p>
    <w:p>
      <w:pPr>
        <w:bidi w:val="0"/>
        <w:jc w:val="both"/>
      </w:pPr>
      <w:r>
        <w:t xml:space="preserve">La </w:t>
      </w:r>
      <w:r>
        <w:rPr>
          <w:b/>
          <w:bCs/>
        </w:rPr>
        <w:t>Dra. Ana María Franchi</w:t>
      </w:r>
      <w:r>
        <w:t xml:space="preserve"> fue designada recientemente como </w:t>
      </w:r>
      <w:r>
        <w:rPr>
          <w:b/>
          <w:bCs/>
        </w:rPr>
        <w:t>Presidenta del Directorio del CONICET</w:t>
      </w:r>
      <w:r>
        <w:t>. La Dra. Franchi es Investigadora Superior del CONICET y Directora del Centro de Estudios Farmacológicos y Botánicos (CEFYBO, CONICET-UBA). Además, es Presidenta de la Red Argentina de Género, Ciencia y Tecnología (RAGCyT), especializándose en la situación de las mujeres en los organismos de Ciencia y Tecnología. Noticia completa aquí https://www.conicet.gov.ar/ana-maria-franchi-fue-designada-como-presidenta-del-conicet/</w:t>
      </w:r>
    </w:p>
    <w:p>
      <w:pPr>
        <w:bidi w:val="0"/>
        <w:jc w:val="both"/>
      </w:pPr>
      <w:r>
        <w:t>(* imagen Dra. Ana Franchi)</w:t>
      </w:r>
    </w:p>
    <w:p>
      <w:pPr>
        <w:bidi w:val="0"/>
        <w:jc w:val="both"/>
      </w:pPr>
    </w:p>
    <w:p>
      <w:pPr>
        <w:bidi w:val="0"/>
        <w:jc w:val="both"/>
      </w:pPr>
    </w:p>
    <w:p>
      <w:pPr>
        <w:bidi w:val="0"/>
        <w:jc w:val="both"/>
        <w:rPr>
          <w:b/>
          <w:bCs/>
        </w:rPr>
      </w:pPr>
      <w:r>
        <w:rPr>
          <w:b/>
          <w:bCs/>
        </w:rPr>
        <w:t>EVENTOS INTERNACIONALES</w:t>
      </w:r>
    </w:p>
    <w:p>
      <w:pPr>
        <w:bidi w:val="0"/>
        <w:jc w:val="both"/>
      </w:pPr>
    </w:p>
    <w:p>
      <w:pPr>
        <w:bidi w:val="0"/>
        <w:jc w:val="left"/>
      </w:pPr>
      <w:r>
        <w:t xml:space="preserve">Se acaba de realizar en Stgo de Chile la </w:t>
      </w:r>
      <w:r>
        <w:rPr>
          <w:b/>
          <w:bCs/>
        </w:rPr>
        <w:t>XIV Conferencia Regional sobre la Mujer de América Latina y el Caribe</w:t>
      </w:r>
      <w:r>
        <w:t>. Se trata de un órgano subsidiario de la Comisión Económica para América Latina y el Caribe (CEPAL), convocada con carácter permanente y regular, para identificar la situación regional y subregional respecto a la autonomía y derechos de las mujeres, presentar recomendaciones para políticas públicas de igualdad de género, realizar evaluaciones periódicas de las actividades llevadas a cabo en cumplimiento de los acuerdos regionales e internacionales y brindar un foro para el debate sobre la igualdad de género. El evento se está llevando a cabo entre el 27 y 31 de enero y la información completa se puede consultar aquí: https://conferenciamujer.cepal.org/14/es?fbclid=IwAR2uSjSwZAdvTVwqkSL1NDiJh9hgPIfRnXedI91OP7w-7Rkeubw07NFesWE</w:t>
      </w:r>
    </w:p>
    <w:p>
      <w:pPr>
        <w:bidi w:val="0"/>
        <w:jc w:val="both"/>
      </w:pPr>
      <w:r>
        <w:t>(* imagen Chile)</w:t>
      </w:r>
    </w:p>
    <w:p>
      <w:pPr>
        <w:bidi w:val="0"/>
        <w:jc w:val="both"/>
      </w:pPr>
    </w:p>
    <w:p>
      <w:pPr>
        <w:bidi w:val="0"/>
        <w:jc w:val="both"/>
      </w:pPr>
      <w:r>
        <w:rPr>
          <w:b/>
          <w:bCs/>
        </w:rPr>
        <w:t>Seminario Virtual de Educación, racismo y desigualdades sociales</w:t>
      </w:r>
      <w:r>
        <w:t xml:space="preserve"> - El objetivo de este evento es reflexionar sobre las políticas educativas para la enseñanza de la historia y cultura africana, así como la legislación educativa implantada en estos países a partir de los años 90, buscando promover la igualdad étnica-racial y la realización de prácticas a través de una perspectiva intercultural y emancipatoria. Inscripciones hasta el 25-3-2020. Consultas aquí </w:t>
      </w:r>
      <w:r>
        <w:fldChar w:fldCharType="begin"/>
      </w:r>
      <w:r>
        <w:instrText xml:space="preserve"> HYPERLINK "https://www.clacso.org/educacion-racismo-y-desigualdades-sociales/" \h </w:instrText>
      </w:r>
      <w:r>
        <w:fldChar w:fldCharType="separate"/>
      </w:r>
      <w:r>
        <w:rPr>
          <w:rStyle w:val="7"/>
        </w:rPr>
        <w:t>https://www.clacso.org/educacion-racismo-y-desigualdades-sociales/</w:t>
      </w:r>
      <w:r>
        <w:rPr>
          <w:rStyle w:val="7"/>
        </w:rPr>
        <w:fldChar w:fldCharType="end"/>
      </w:r>
      <w:r>
        <w:t xml:space="preserve">  (* imagen Educación y racismo)</w:t>
      </w:r>
    </w:p>
    <w:p>
      <w:pPr>
        <w:bidi w:val="0"/>
        <w:jc w:val="both"/>
      </w:pPr>
    </w:p>
    <w:p>
      <w:pPr>
        <w:bidi w:val="0"/>
        <w:jc w:val="both"/>
      </w:pPr>
      <w:r>
        <w:rPr>
          <w:b/>
          <w:bCs/>
        </w:rPr>
        <w:t>Especialización y Curso Internacional Epistemologías del Sur</w:t>
      </w:r>
      <w:r>
        <w:t xml:space="preserve"> - Duración: abril de 2020 a marzo de 2021, Modalidad VirtualEn este curso se aportan instrumentos teóricos y metodológicos que permiten desarrollar un diagnóstico crítico del presente teniendo como elemento constitutivo la posibilidad de reconstruir, formular y legitimar alternativas para una sociedad más justa y libre. Coordinación Académica: Karina Bidaseca (CLACSO, Universidad Nacional de San Martín y UBA, Argentina) y María Paula Meneses (Universidad de Coimbra, Portugal). Vacantes limitadas. Detalles sobre cursado e inscripciones aquí https://www.clacso.org/espistemologias-del-sur-2020/?fbclid=IwAR1R3pOl1ep2vNV006VOIfM6sTxa5yxOzLIr_KfS4j0MzTBMFU0DOghIH34</w:t>
      </w:r>
    </w:p>
    <w:p>
      <w:pPr>
        <w:bidi w:val="0"/>
        <w:jc w:val="both"/>
      </w:pPr>
      <w:r>
        <w:t>(* imagen Epistemologías del Sur)</w:t>
      </w:r>
    </w:p>
    <w:p>
      <w:pPr>
        <w:bidi w:val="0"/>
        <w:jc w:val="both"/>
      </w:pPr>
    </w:p>
    <w:p>
      <w:pPr>
        <w:bidi w:val="0"/>
        <w:jc w:val="both"/>
      </w:pPr>
    </w:p>
    <w:p>
      <w:pPr>
        <w:bidi w:val="0"/>
        <w:jc w:val="both"/>
        <w:rPr>
          <w:b/>
          <w:bCs/>
        </w:rPr>
      </w:pPr>
      <w:r>
        <w:rPr>
          <w:b/>
          <w:bCs/>
        </w:rPr>
        <w:t>NOVEDADES EN DIGITALIZACIÓN</w:t>
      </w:r>
    </w:p>
    <w:p>
      <w:pPr>
        <w:bidi w:val="0"/>
        <w:jc w:val="both"/>
      </w:pPr>
    </w:p>
    <w:p>
      <w:pPr>
        <w:bidi w:val="0"/>
        <w:jc w:val="both"/>
      </w:pPr>
      <w:r>
        <w:rPr>
          <w:b/>
          <w:bCs/>
        </w:rPr>
        <w:t>UNCIENCIA</w:t>
      </w:r>
      <w:r>
        <w:t xml:space="preserve"> - La </w:t>
      </w:r>
      <w:r>
        <w:rPr>
          <w:b/>
          <w:bCs/>
        </w:rPr>
        <w:t>Agencia Universitaria de Comunicación de la Ciencia, el Arte y la Tecnología</w:t>
      </w:r>
      <w:r>
        <w:t xml:space="preserve"> informa que se resguardarán partituras históricas de Córdoba a través del uso de nuevas tecnologías. Se trata de un proyecto interdisciplinario radicado en la Facultad de Artes de la UNC cuyo objetivo es conservar y difundir documentos musicales locales que datan de fines del siglo XVIII y principios del siglo XIX, resguardados en distintos archivos de la ciudad. Algunas colecciones serán digitalizadas para facilitar el acceso a las obras. Por primera vez a nivel nacional, se generarán protocolos de aplicación de técnicas de remoción láser en restauración de documentos musicales de papel. En el proyecto –que cuenta con financiamiento del Programa Institucional y Multidisciplinar (Primar) en Temas Prioritarios, impulsado por la Secretaría de Ciencia y Tecnología de la UNC– participarán más de veinte personas de las facultades de Artes, Filosofía/Humanidades y Ciencias Químicas de la UNC. En el video que se acompaña se muestra la técnica de remoción de manchas sobre las partituras originales, técnica que del mismo modo se aplica a cualquier otro documento deteriorado por el paso del tiempo que se desee digitalizar. </w:t>
      </w:r>
    </w:p>
    <w:p>
      <w:pPr>
        <w:bidi w:val="0"/>
        <w:jc w:val="both"/>
      </w:pPr>
      <w:r>
        <w:t>Video aquí https://www.youtube.com/watch?v=YjX-wcL9r2A</w:t>
      </w:r>
    </w:p>
    <w:p>
      <w:pPr>
        <w:bidi w:val="0"/>
        <w:jc w:val="both"/>
      </w:pPr>
      <w:r>
        <w:t>El detalle de estas tareas se explica pormenorizadamente en el siguiente enlace http://www.unciencia.unc.edu.ar/2019/noviembre/resguardaran-partituras-historicas-de-cordoba-a-traves-del-uso-de-nuevas-tecnologias</w:t>
      </w:r>
    </w:p>
    <w:p>
      <w:pPr>
        <w:bidi w:val="0"/>
        <w:jc w:val="both"/>
      </w:pPr>
      <w:r>
        <w:t>(* imagen Partitura)</w:t>
      </w:r>
    </w:p>
    <w:p>
      <w:pPr>
        <w:bidi w:val="0"/>
        <w:jc w:val="both"/>
      </w:pPr>
    </w:p>
    <w:p>
      <w:pPr>
        <w:bidi w:val="0"/>
        <w:jc w:val="both"/>
      </w:pPr>
      <w:r>
        <w:rPr>
          <w:b/>
          <w:bCs/>
        </w:rPr>
        <w:t>Los museos de París proporcionan más de 100.000 imágenes de obras de arte.</w:t>
      </w:r>
      <w:r>
        <w:t xml:space="preserve"> El colectivo de 14 importantes museos, los 'Paris Musées' , ponen a disposición para descargar desde su página web más de 100 mil reproducciones digitales de obras de arte. Las imágenes de alta definición ahora están bajo licencia CCØ ( Creative Commons Zero ), lo que significa que se pueden usar y modificar sin restricciones. Las obras disponibles se pueden buscar por artista, fecha, material, ubicación y color. También se agruparán en colecciones temáticas y quien lo desee puede registrar sus piezas favoritas. Cada vez que obtienen la reproducción de una obra, los usuarios reciben información sobre la licencia y la obra original. La lista incluye obras de los pintores Gustave Courbet, Delacroix, Rembrandt, Anthony Van Dyck, entre otros. Los interesados pueden acceder de modo gratuito a través del siguiente enlace http://parismuseescollections.paris.fr/fr</w:t>
      </w:r>
    </w:p>
    <w:p>
      <w:pPr>
        <w:bidi w:val="0"/>
        <w:jc w:val="both"/>
      </w:pPr>
      <w:r>
        <w:t>(* imagen Retablo año 1435 Jacques Daret)</w:t>
      </w:r>
    </w:p>
    <w:p>
      <w:pPr>
        <w:bidi w:val="0"/>
        <w:jc w:val="both"/>
      </w:pPr>
    </w:p>
    <w:p>
      <w:pPr>
        <w:bidi w:val="0"/>
        <w:jc w:val="both"/>
      </w:pPr>
    </w:p>
    <w:p>
      <w:pPr>
        <w:bidi w:val="0"/>
        <w:jc w:val="both"/>
        <w:rPr>
          <w:b/>
          <w:bCs/>
        </w:rPr>
      </w:pPr>
      <w:r>
        <w:rPr>
          <w:b/>
          <w:bCs/>
        </w:rPr>
        <w:t xml:space="preserve">OTRAS NOTICIAS de INTERÉS </w:t>
      </w:r>
    </w:p>
    <w:p>
      <w:pPr>
        <w:bidi w:val="0"/>
        <w:jc w:val="both"/>
      </w:pPr>
    </w:p>
    <w:p>
      <w:pPr>
        <w:bidi w:val="0"/>
        <w:jc w:val="both"/>
      </w:pPr>
      <w:r>
        <w:rPr>
          <w:b/>
          <w:bCs/>
        </w:rPr>
        <w:t>Educación Ambiental, un eje clave del 2020</w:t>
      </w:r>
      <w:r>
        <w:t xml:space="preserve"> - La Prov. de Mendoza se destacó en los últimos años en concentrar acciones referidas al Programa de Educación para el Desarrollo Sostenible. A lo largo del 2019 y poniendo como eje central el Cambio Climático, Mendoza se propuso una agenda de estrategias y programas aplicados a distintos ámbitos incluyendo a alumnos y docentes de los tres niveles escolares. Más de 3.500 alumnos de 44 establecimientos educativos plantaron cerca de 3.000 forestales. La Educación Ambiental debe ser entendida como un proceso orientado a estimular la conciencia y el interés por las cuestiones socio-ambientales y su problemática global, así como fortalecer la capacidad de las personas para trabajar individual y colectivamente. Por esta razón, la Secretaría de Ambiente, a través de la Dirección de Recursos Naturales Renovables, con la colaboración de viveros municipales, capacitó a alumnos y docentes en el cuidado y conservación de la flora nativa para contribuir a reducir los efectos del calentamiento global. Asimismo, durante el pasado año se trabajó en la elaboración y distribución de manuales de Educación Ambiental para docentes de los niveles secundario y superior, en 500 establecimientos educativos provinciales. Lectura completa sobre estos temas aquí http://www.ambiente.mendoza.gov.ar/</w:t>
      </w:r>
    </w:p>
    <w:p>
      <w:pPr>
        <w:bidi w:val="0"/>
        <w:jc w:val="both"/>
      </w:pPr>
      <w:r>
        <w:t>(* imagen Medioambiente)</w:t>
      </w:r>
    </w:p>
    <w:p>
      <w:pPr>
        <w:bidi w:val="0"/>
        <w:jc w:val="both"/>
      </w:pPr>
    </w:p>
    <w:p>
      <w:pPr>
        <w:bidi w:val="0"/>
        <w:jc w:val="both"/>
      </w:pPr>
      <w:r>
        <w:t xml:space="preserve"> </w:t>
      </w:r>
    </w:p>
    <w:p>
      <w:pPr>
        <w:bidi w:val="0"/>
        <w:jc w:val="both"/>
      </w:pPr>
      <w:r>
        <w:rPr>
          <w:b/>
          <w:bCs/>
        </w:rPr>
        <w:t>El poder del Big-Data</w:t>
      </w:r>
      <w:r>
        <w:t xml:space="preserve"> -  La generación de datos viene creciendo a una velocidad increíble, y por ello, también la capacidad mundial de almacenamiento de la información, que se ha duplicado aproximadamente cada 40 meses desde los años 80. Los datos son esenciales para tomar decisiones y la materia prima para exigir responsabilidades, pero, ¿están en manos de quién?. Les sirven a las grandes compañías, y también a la política. ¿Podemos pensar en un “beneficio colectivo” del big-data? Primero, habría que mejorar el marco regulatorio. Para entender el contexto, el siguiente artículo del portal Orden Mundial nos cuenta cómo el big-data está generando más poder a la economía y a la política. La lectura completa acerca de este tema se puede visualizar aquí https://elordenmundial.com/big-data-poder-datos-economia-politica/?fbclid=IwAR0YOrYtDHe3FcsPbkBomlnSgSt8Bsk42ATysteMOyL-EkM8vggQf5Q1R9U</w:t>
      </w:r>
    </w:p>
    <w:p>
      <w:pPr>
        <w:bidi w:val="0"/>
        <w:jc w:val="both"/>
      </w:pPr>
    </w:p>
    <w:p>
      <w:pPr>
        <w:bidi w:val="0"/>
        <w:jc w:val="both"/>
      </w:pPr>
    </w:p>
    <w:p>
      <w:pPr>
        <w:bidi w:val="0"/>
        <w:jc w:val="both"/>
        <w:rPr>
          <w:b/>
          <w:bCs/>
        </w:rPr>
      </w:pPr>
      <w:r>
        <w:rPr>
          <w:b/>
          <w:bCs/>
        </w:rPr>
        <w:t>EFEMÉRIDES</w:t>
      </w:r>
    </w:p>
    <w:p>
      <w:pPr>
        <w:bidi w:val="0"/>
        <w:jc w:val="both"/>
      </w:pPr>
    </w:p>
    <w:p>
      <w:pPr>
        <w:bidi w:val="0"/>
        <w:jc w:val="both"/>
      </w:pPr>
      <w:r>
        <w:t xml:space="preserve">La Asamblea General de las Naciones Unidas proclamó el 24 de enero </w:t>
      </w:r>
      <w:r>
        <w:rPr>
          <w:b/>
          <w:bCs/>
        </w:rPr>
        <w:t>Día Internacional de la Educación</w:t>
      </w:r>
      <w:r>
        <w:t>, en celebración del papel que la educación desempeña en la paz y el desarrollo. La educación es un derecho humano, un bien público y una responsabilidad colectiva. Sin una educación de calidad, inclusiva y equitativa para todos y de oportunidades de aprendizaje a lo largo de toda la vida, los países no lograrán alcanzar la igualdad de género ni romper el ciclo de pobreza que deja rezagados a millones de niños, jóvenes y adultos. Información completa aquí https://es.unesco.org/commemorations/educationday</w:t>
      </w:r>
    </w:p>
    <w:p>
      <w:pPr>
        <w:bidi w:val="0"/>
        <w:jc w:val="both"/>
      </w:pPr>
      <w:r>
        <w:t>(* imagen Día Internacional de la Educación)</w:t>
      </w:r>
    </w:p>
    <w:p>
      <w:pPr>
        <w:bidi w:val="0"/>
        <w:jc w:val="both"/>
      </w:pPr>
    </w:p>
    <w:p>
      <w:pPr>
        <w:bidi w:val="0"/>
        <w:jc w:val="both"/>
      </w:pPr>
      <w:r>
        <w:t xml:space="preserve">El 27 de enero fue declarado el </w:t>
      </w:r>
      <w:r>
        <w:rPr>
          <w:b/>
          <w:bCs/>
        </w:rPr>
        <w:t>Día Internacional de Conmemoración de las víctimas del Holocausto</w:t>
      </w:r>
      <w:r>
        <w:t xml:space="preserve">. También es el aniversario del fallecimiento de la escritora e intelectual argentina </w:t>
      </w:r>
      <w:r>
        <w:rPr>
          <w:b/>
          <w:bCs/>
        </w:rPr>
        <w:t>Victoria Ocampo</w:t>
      </w:r>
      <w:r>
        <w:t xml:space="preserve"> (1890-1979). Nacida en una familia aristocrática, Ocampo fue pionera en su labor feminista y en el desarrollo cultural de nuestro país, fundando la editorial y revista Sur, donde se difundían obras de importantes artistas de la época.  En 1946, fue la única latinoamericana que asistió a los históricos Juicios de Nüremberg, en donde se condenaron los crímenes de lesa humanidad cometidos durante la 2da. Guerra Mundial.</w:t>
      </w:r>
    </w:p>
    <w:p>
      <w:pPr>
        <w:bidi w:val="0"/>
        <w:jc w:val="both"/>
      </w:pPr>
      <w:r>
        <w:t xml:space="preserve">(* imagen </w:t>
      </w:r>
      <w:r>
        <w:rPr>
          <w:rFonts w:hint="default"/>
          <w:lang w:val="es-AR"/>
        </w:rPr>
        <w:t>Victoria</w:t>
      </w:r>
      <w:r>
        <w:t xml:space="preserve"> Ocampo)</w:t>
      </w:r>
    </w:p>
    <w:p>
      <w:pPr>
        <w:bidi w:val="0"/>
        <w:jc w:val="both"/>
      </w:pPr>
    </w:p>
    <w:p>
      <w:pPr>
        <w:bidi w:val="0"/>
        <w:jc w:val="both"/>
      </w:pPr>
    </w:p>
    <w:p>
      <w:pPr>
        <w:bidi w:val="0"/>
        <w:jc w:val="both"/>
      </w:pPr>
    </w:p>
    <w:p>
      <w:pPr>
        <w:bidi w:val="0"/>
        <w:jc w:val="both"/>
      </w:pPr>
      <w:r>
        <w:t>(fin)</w:t>
      </w:r>
    </w:p>
    <w:p>
      <w:pPr>
        <w:bidi w:val="0"/>
        <w:jc w:val="both"/>
      </w:pPr>
    </w:p>
    <w:sectPr>
      <w:pgSz w:w="11906" w:h="16838"/>
      <w:pgMar w:top="1134" w:right="1134" w:bottom="1134" w:left="1134" w:header="0" w:footer="0" w:gutter="0"/>
      <w:pgNumType w:fmt="decimal"/>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auto"/>
    <w:pitch w:val="default"/>
    <w:sig w:usb0="00000283" w:usb1="288F0000" w:usb2="00000006" w:usb3="00000000" w:csb0="00040001" w:csb1="00000000"/>
  </w:font>
  <w:font w:name="Liberation Sans">
    <w:panose1 w:val="020B0604020202020204"/>
    <w:charset w:val="00"/>
    <w:family w:val="roman"/>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Verdana">
    <w:panose1 w:val="020B0604030504040204"/>
    <w:charset w:val="00"/>
    <w:family w:val="roman"/>
    <w:pitch w:val="default"/>
    <w:sig w:usb0="A00006FF" w:usb1="4000205B" w:usb2="00000010" w:usb3="00000000" w:csb0="2000019F" w:csb1="00000000"/>
  </w:font>
  <w:font w:name="MingLiU-ExtB">
    <w:panose1 w:val="02020500000000000000"/>
    <w:charset w:val="88"/>
    <w:family w:val="auto"/>
    <w:pitch w:val="default"/>
    <w:sig w:usb0="8000002F" w:usb1="02000008" w:usb2="00000000" w:usb3="00000000" w:csb0="00100001"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C07C15"/>
    <w:rsid w:val="16A94FA7"/>
    <w:rsid w:val="1E836876"/>
    <w:rsid w:val="22F3418A"/>
    <w:rsid w:val="23CF00C9"/>
    <w:rsid w:val="48021202"/>
    <w:rsid w:val="51B867EA"/>
    <w:rsid w:val="58E84D65"/>
    <w:rsid w:val="62C86D9B"/>
    <w:rsid w:val="6C40771A"/>
    <w:rsid w:val="6CB76D2D"/>
    <w:rsid w:val="708B02DB"/>
    <w:rsid w:val="7390069F"/>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widowControl/>
      <w:bidi w:val="0"/>
      <w:spacing w:before="0" w:after="0"/>
      <w:jc w:val="left"/>
    </w:pPr>
    <w:rPr>
      <w:rFonts w:ascii="Liberation Serif" w:hAnsi="Liberation Serif" w:eastAsia="NSimSun" w:cs="Arial"/>
      <w:color w:val="auto"/>
      <w:kern w:val="2"/>
      <w:sz w:val="24"/>
      <w:szCs w:val="24"/>
      <w:lang w:val="es-ES" w:eastAsia="zh-CN" w:bidi="hi-IN"/>
    </w:rPr>
  </w:style>
  <w:style w:type="character" w:default="1" w:styleId="5">
    <w:name w:val="Default Paragraph Font"/>
    <w:semiHidden/>
    <w:unhideWhenUsed/>
    <w:qFormat/>
    <w:uiPriority w:val="1"/>
  </w:style>
  <w:style w:type="table" w:default="1" w:styleId="6">
    <w:name w:val="Normal Table"/>
    <w:semiHidden/>
    <w:uiPriority w:val="0"/>
    <w:tblPr>
      <w:tblCellMar>
        <w:top w:w="0" w:type="dxa"/>
        <w:left w:w="108" w:type="dxa"/>
        <w:bottom w:w="0" w:type="dxa"/>
        <w:right w:w="108" w:type="dxa"/>
      </w:tblCellMar>
    </w:tblPr>
  </w:style>
  <w:style w:type="paragraph" w:styleId="2">
    <w:name w:val="caption"/>
    <w:basedOn w:val="1"/>
    <w:next w:val="1"/>
    <w:qFormat/>
    <w:uiPriority w:val="0"/>
    <w:pPr>
      <w:suppressLineNumbers/>
      <w:spacing w:before="120" w:after="120"/>
    </w:pPr>
    <w:rPr>
      <w:rFonts w:cs="Arial"/>
      <w:i/>
      <w:iCs/>
      <w:sz w:val="24"/>
      <w:szCs w:val="24"/>
    </w:rPr>
  </w:style>
  <w:style w:type="paragraph" w:styleId="3">
    <w:name w:val="List"/>
    <w:basedOn w:val="4"/>
    <w:qFormat/>
    <w:uiPriority w:val="0"/>
    <w:rPr>
      <w:rFonts w:cs="Arial"/>
    </w:rPr>
  </w:style>
  <w:style w:type="paragraph" w:styleId="4">
    <w:name w:val="Body Text"/>
    <w:basedOn w:val="1"/>
    <w:uiPriority w:val="0"/>
    <w:pPr>
      <w:spacing w:before="0" w:after="140" w:line="276" w:lineRule="auto"/>
    </w:pPr>
  </w:style>
  <w:style w:type="character" w:customStyle="1" w:styleId="7">
    <w:name w:val="Enlace de Internet"/>
    <w:basedOn w:val="5"/>
    <w:uiPriority w:val="0"/>
    <w:rPr>
      <w:color w:val="000080"/>
      <w:u w:val="single"/>
      <w:lang w:val="zh-CN" w:eastAsia="zh-CN" w:bidi="zh-CN"/>
    </w:rPr>
  </w:style>
  <w:style w:type="paragraph" w:customStyle="1" w:styleId="8">
    <w:name w:val="Título1"/>
    <w:basedOn w:val="1"/>
    <w:next w:val="4"/>
    <w:qFormat/>
    <w:uiPriority w:val="0"/>
    <w:pPr>
      <w:keepNext/>
      <w:spacing w:before="240" w:after="120"/>
    </w:pPr>
    <w:rPr>
      <w:rFonts w:ascii="Liberation Sans" w:hAnsi="Liberation Sans" w:eastAsia="Microsoft YaHei" w:cs="Arial"/>
      <w:sz w:val="28"/>
      <w:szCs w:val="28"/>
    </w:rPr>
  </w:style>
  <w:style w:type="paragraph" w:customStyle="1" w:styleId="9">
    <w:name w:val="Índice"/>
    <w:basedOn w:val="1"/>
    <w:qFormat/>
    <w:uiPriority w:val="0"/>
    <w:pPr>
      <w:suppressLineNumbers/>
    </w:pPr>
    <w:rPr>
      <w:rFonts w:cs="Arial"/>
    </w:rPr>
  </w:style>
  <w:style w:type="character" w:customStyle="1" w:styleId="10">
    <w:name w:val="txt_cuerpo_noticia_nn"/>
    <w:basedOn w:val="5"/>
    <w:qFormat/>
    <w:uiPriority w:val="0"/>
  </w:style>
  <w:style w:type="paragraph" w:styleId="11">
    <w:name w:val="List Paragraph"/>
    <w:basedOn w:val="1"/>
    <w:qFormat/>
    <w:uiPriority w:val="34"/>
    <w:pPr>
      <w:spacing w:before="0" w:after="160" w:line="259" w:lineRule="auto"/>
      <w:ind w:left="720" w:firstLine="0"/>
      <w:contextualSpacing/>
    </w:pPr>
    <w:rPr>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1260</Words>
  <Characters>7659</Characters>
  <Paragraphs>28</Paragraphs>
  <TotalTime>40</TotalTime>
  <ScaleCrop>false</ScaleCrop>
  <LinksUpToDate>false</LinksUpToDate>
  <CharactersWithSpaces>8899</CharactersWithSpaces>
  <Application>WPS Office_11.2.0.9144_F1E327BC-269C-435d-A152-05C5408002CA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2020-01-28T12:07:00Z</dcterms:created>
  <dc:creator>Cecilia</dc:creator>
  <cp:lastModifiedBy>Cecilia</cp:lastModifiedBy>
  <dcterms:modified xsi:type="dcterms:W3CDTF">2020-01-31T15:47:30Z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3082-11.2.0.9144</vt:lpwstr>
  </property>
</Properties>
</file>